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EA7C8" w14:textId="3B6421A8" w:rsidR="0014134E" w:rsidRDefault="00257911">
      <w:r>
        <w:rPr>
          <w:noProof/>
        </w:rPr>
        <w:drawing>
          <wp:inline distT="0" distB="0" distL="0" distR="0" wp14:anchorId="69730247" wp14:editId="61D50773">
            <wp:extent cx="5407572" cy="5407572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783" cy="5411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C091E" w14:textId="260D5113" w:rsidR="00257911" w:rsidRPr="00257911" w:rsidRDefault="00257911">
      <w:pPr>
        <w:rPr>
          <w:rFonts w:ascii="Times New Roman" w:hAnsi="Times New Roman" w:cs="Times New Roman"/>
        </w:rPr>
      </w:pPr>
      <w:r w:rsidRPr="00257911">
        <w:rPr>
          <w:rFonts w:ascii="Times New Roman" w:hAnsi="Times New Roman" w:cs="Times New Roman"/>
          <w:b/>
        </w:rPr>
        <w:t>Supplementary Fig</w:t>
      </w:r>
      <w:r w:rsidR="006D3C61">
        <w:rPr>
          <w:rFonts w:ascii="Times New Roman" w:hAnsi="Times New Roman" w:cs="Times New Roman"/>
          <w:b/>
        </w:rPr>
        <w:t xml:space="preserve">. </w:t>
      </w:r>
      <w:bookmarkStart w:id="0" w:name="_GoBack"/>
      <w:bookmarkEnd w:id="0"/>
      <w:r w:rsidRPr="00257911">
        <w:rPr>
          <w:rFonts w:ascii="Times New Roman" w:hAnsi="Times New Roman" w:cs="Times New Roman"/>
          <w:b/>
        </w:rPr>
        <w:t>1. Correlation heatmap between six necroptosis-related proteins and classical markers of endometrial receptivity.</w:t>
      </w:r>
      <w:r w:rsidRPr="00257911">
        <w:rPr>
          <w:rFonts w:ascii="Times New Roman" w:hAnsi="Times New Roman" w:cs="Times New Roman"/>
        </w:rPr>
        <w:t xml:space="preserve"> DNM1L, dynamin 1 like; TXN, thioredoxin; EIF2AK2, eukaryotic translation initiation factor 2 alpha kinase 2; ADAR, adenosine deaminase acting on RNA; CAMK2D, calmodulin-dependent protein kinase II delta; CAMK2G, calmodulin-dependent protein kinase II gamma; HOXA11, homeobox A11; ITGB1, integrin subunit beta-1; ITGB3, integrin subunit beta-3; ITGB5, integrin subunit beta-5.</w:t>
      </w:r>
    </w:p>
    <w:sectPr w:rsidR="00257911" w:rsidRPr="00257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49F15" w14:textId="77777777" w:rsidR="006D3C61" w:rsidRDefault="006D3C61" w:rsidP="006D3C61">
      <w:r>
        <w:separator/>
      </w:r>
    </w:p>
  </w:endnote>
  <w:endnote w:type="continuationSeparator" w:id="0">
    <w:p w14:paraId="69B92ADB" w14:textId="77777777" w:rsidR="006D3C61" w:rsidRDefault="006D3C61" w:rsidP="006D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CDA5F" w14:textId="77777777" w:rsidR="006D3C61" w:rsidRDefault="006D3C61" w:rsidP="006D3C61">
      <w:r>
        <w:separator/>
      </w:r>
    </w:p>
  </w:footnote>
  <w:footnote w:type="continuationSeparator" w:id="0">
    <w:p w14:paraId="2C793AED" w14:textId="77777777" w:rsidR="006D3C61" w:rsidRDefault="006D3C61" w:rsidP="006D3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DF"/>
    <w:rsid w:val="001C4626"/>
    <w:rsid w:val="00257911"/>
    <w:rsid w:val="006D3C61"/>
    <w:rsid w:val="00A11BB4"/>
    <w:rsid w:val="00F6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B9F1E"/>
  <w15:chartTrackingRefBased/>
  <w15:docId w15:val="{65A4F63D-35F5-4690-82C1-8C486855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3C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3C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3C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Hee</dc:creator>
  <cp:keywords/>
  <dc:description/>
  <cp:lastModifiedBy>Rui Teo</cp:lastModifiedBy>
  <cp:revision>3</cp:revision>
  <dcterms:created xsi:type="dcterms:W3CDTF">2025-11-25T06:01:00Z</dcterms:created>
  <dcterms:modified xsi:type="dcterms:W3CDTF">2025-11-25T11:18:00Z</dcterms:modified>
</cp:coreProperties>
</file>